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Перечень документов, представляемых участниками конкурсного отбора</w:t>
      </w: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4521A" w:rsidRP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заявка на участие в конкурсном отборе по предоставлению гранта на реализацию социально значимых проектов по форме согласно </w:t>
      </w:r>
      <w:hyperlink r:id="rId4" w:anchor="sub_1100" w:history="1">
        <w:r>
          <w:rPr>
            <w:rStyle w:val="a3"/>
            <w:rFonts w:ascii="Times New Roman" w:hAnsi="Times New Roman" w:cs="Times New Roman"/>
            <w:color w:val="000000" w:themeColor="text1"/>
            <w:sz w:val="28"/>
            <w:szCs w:val="28"/>
          </w:rPr>
          <w:t>приложению 1</w:t>
        </w:r>
      </w:hyperlink>
      <w:r>
        <w:rPr>
          <w:rFonts w:ascii="Times New Roman" w:hAnsi="Times New Roman" w:cs="Times New Roman"/>
          <w:color w:val="000000" w:themeColor="text1"/>
          <w:sz w:val="28"/>
          <w:szCs w:val="28"/>
        </w:rPr>
        <w:t xml:space="preserve"> к Порядку:</w:t>
      </w:r>
    </w:p>
    <w:p w:rsidR="0064521A" w:rsidRDefault="0064521A" w:rsidP="0064521A">
      <w:pPr>
        <w:ind w:firstLine="708"/>
        <w:jc w:val="both"/>
        <w:rPr>
          <w:rFonts w:ascii="Times New Roman" w:hAnsi="Times New Roman" w:cs="Times New Roman"/>
          <w:color w:val="000000" w:themeColor="text1"/>
          <w:sz w:val="28"/>
          <w:szCs w:val="28"/>
        </w:rPr>
      </w:pPr>
      <w:bookmarkStart w:id="0" w:name="sub_3027"/>
      <w:bookmarkStart w:id="1" w:name="sub_2052"/>
      <w:r>
        <w:rPr>
          <w:rFonts w:ascii="Times New Roman" w:hAnsi="Times New Roman" w:cs="Times New Roman"/>
          <w:color w:val="000000" w:themeColor="text1"/>
          <w:sz w:val="28"/>
          <w:szCs w:val="28"/>
        </w:rPr>
        <w:t xml:space="preserve">2) анкета участника конкурсного отбора по предоставлению гранта на реализацию социально значимых проектов по форме согласно </w:t>
      </w:r>
      <w:hyperlink r:id="rId5" w:anchor="sub_1200" w:history="1">
        <w:r>
          <w:rPr>
            <w:rStyle w:val="a3"/>
            <w:rFonts w:ascii="Times New Roman" w:hAnsi="Times New Roman" w:cs="Times New Roman"/>
            <w:color w:val="000000" w:themeColor="text1"/>
            <w:sz w:val="28"/>
            <w:szCs w:val="28"/>
          </w:rPr>
          <w:t>приложению 2</w:t>
        </w:r>
      </w:hyperlink>
      <w:r>
        <w:rPr>
          <w:rFonts w:ascii="Times New Roman" w:hAnsi="Times New Roman" w:cs="Times New Roman"/>
          <w:color w:val="000000" w:themeColor="text1"/>
          <w:sz w:val="28"/>
          <w:szCs w:val="28"/>
        </w:rPr>
        <w:t xml:space="preserve"> к Порядку</w:t>
      </w:r>
      <w:bookmarkStart w:id="2" w:name="sub_2053"/>
      <w:bookmarkEnd w:id="1"/>
    </w:p>
    <w:p w:rsidR="0064521A" w:rsidRDefault="0064521A" w:rsidP="0064521A">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проект реализации мероприятий, с пояснительной запиской, которая должна содержать механизм реализации мероприятий, примерные сроки их проведения и обоснование расходов по статьям бюджета проекта;</w:t>
      </w:r>
      <w:bookmarkStart w:id="3" w:name="sub_2054"/>
      <w:bookmarkEnd w:id="2"/>
    </w:p>
    <w:p w:rsidR="0064521A" w:rsidRDefault="0064521A" w:rsidP="0064521A">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бюджет проекта по форме, установленной </w:t>
      </w:r>
      <w:hyperlink r:id="rId6" w:anchor="sub_1300" w:history="1">
        <w:r>
          <w:rPr>
            <w:rStyle w:val="a3"/>
            <w:rFonts w:ascii="Times New Roman" w:hAnsi="Times New Roman" w:cs="Times New Roman"/>
            <w:color w:val="000000" w:themeColor="text1"/>
            <w:sz w:val="28"/>
            <w:szCs w:val="28"/>
          </w:rPr>
          <w:t>приложением 3</w:t>
        </w:r>
      </w:hyperlink>
      <w:r>
        <w:rPr>
          <w:rFonts w:ascii="Times New Roman" w:hAnsi="Times New Roman" w:cs="Times New Roman"/>
          <w:color w:val="000000" w:themeColor="text1"/>
          <w:sz w:val="28"/>
          <w:szCs w:val="28"/>
        </w:rPr>
        <w:t xml:space="preserve"> к Порядку;</w:t>
      </w:r>
      <w:bookmarkStart w:id="4" w:name="_GoBack"/>
      <w:bookmarkEnd w:id="4"/>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 w:name="sub_2055"/>
      <w:bookmarkEnd w:id="3"/>
      <w:r>
        <w:rPr>
          <w:rFonts w:ascii="Times New Roman" w:hAnsi="Times New Roman" w:cs="Times New Roman"/>
          <w:color w:val="000000" w:themeColor="text1"/>
          <w:sz w:val="28"/>
          <w:szCs w:val="28"/>
        </w:rPr>
        <w:t>5) заверенные в установленном порядке копии учредительных документов;</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2056"/>
      <w:bookmarkEnd w:id="5"/>
      <w:r>
        <w:rPr>
          <w:rFonts w:ascii="Times New Roman" w:hAnsi="Times New Roman" w:cs="Times New Roman"/>
          <w:color w:val="000000" w:themeColor="text1"/>
          <w:sz w:val="28"/>
          <w:szCs w:val="28"/>
        </w:rPr>
        <w:t>6) документы, подтверждающие полномочия лица, действующего от имени участника конкурсного отбора;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57"/>
      <w:bookmarkEnd w:id="6"/>
      <w:r>
        <w:rPr>
          <w:rFonts w:ascii="Times New Roman" w:hAnsi="Times New Roman" w:cs="Times New Roman"/>
          <w:color w:val="000000" w:themeColor="text1"/>
          <w:sz w:val="28"/>
          <w:szCs w:val="28"/>
        </w:rPr>
        <w:t xml:space="preserve">7) документы, подтверждающие соответствие получателя гранта категории и требованиям, предусмотренным </w:t>
      </w:r>
      <w:hyperlink r:id="rId7" w:anchor="sub_105" w:history="1">
        <w:r>
          <w:rPr>
            <w:rStyle w:val="a3"/>
            <w:rFonts w:ascii="Times New Roman" w:hAnsi="Times New Roman" w:cs="Times New Roman"/>
            <w:color w:val="000000" w:themeColor="text1"/>
            <w:sz w:val="28"/>
            <w:szCs w:val="28"/>
          </w:rPr>
          <w:t>пунктами 1.5 раздела 1</w:t>
        </w:r>
      </w:hyperlink>
      <w:r>
        <w:rPr>
          <w:rFonts w:ascii="Times New Roman" w:hAnsi="Times New Roman" w:cs="Times New Roman"/>
          <w:color w:val="000000" w:themeColor="text1"/>
          <w:sz w:val="28"/>
          <w:szCs w:val="28"/>
        </w:rPr>
        <w:t xml:space="preserve"> Порядка и </w:t>
      </w:r>
      <w:hyperlink r:id="rId8" w:anchor="sub_203" w:history="1">
        <w:r>
          <w:rPr>
            <w:rStyle w:val="a3"/>
            <w:rFonts w:ascii="Times New Roman" w:hAnsi="Times New Roman" w:cs="Times New Roman"/>
            <w:color w:val="000000" w:themeColor="text1"/>
            <w:sz w:val="28"/>
            <w:szCs w:val="28"/>
          </w:rPr>
          <w:t>2.3</w:t>
        </w:r>
      </w:hyperlink>
      <w:r>
        <w:rPr>
          <w:rFonts w:ascii="Times New Roman" w:hAnsi="Times New Roman" w:cs="Times New Roman"/>
          <w:color w:val="000000" w:themeColor="text1"/>
          <w:sz w:val="28"/>
          <w:szCs w:val="28"/>
        </w:rPr>
        <w:t xml:space="preserve"> настоящего раздела;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 w:name="sub_2058"/>
      <w:bookmarkEnd w:id="7"/>
      <w:r>
        <w:rPr>
          <w:rFonts w:ascii="Times New Roman" w:hAnsi="Times New Roman" w:cs="Times New Roman"/>
          <w:color w:val="000000" w:themeColor="text1"/>
          <w:sz w:val="28"/>
          <w:szCs w:val="28"/>
        </w:rPr>
        <w:t>8) согласие (в произвольной форме) на публикацию (размещение) в сети «Интернет» информации об участнике конкурсного отбора, о подаваемой им заявке, иной информации об участнике конкурсного отбора, связанной с участием в конкурсном отборе</w:t>
      </w:r>
      <w:r>
        <w:rPr>
          <w:rFonts w:ascii="Times New Roman" w:hAnsi="Times New Roman" w:cs="Times New Roman"/>
          <w:color w:val="000000" w:themeColor="text1"/>
          <w:sz w:val="24"/>
          <w:szCs w:val="24"/>
        </w:rPr>
        <w:t>.</w:t>
      </w:r>
    </w:p>
    <w:bookmarkEnd w:id="8"/>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4521A" w:rsidRDefault="0064521A" w:rsidP="0064521A">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Документы, которые  предоставляются на интернет платформе, а также на бумажном носителе в одном экземпляре в прошитом, пронумерованном виде, скрепляются подписью руководителя (или иным уполномоченным лицом)</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321"/>
      <w:r>
        <w:rPr>
          <w:rFonts w:ascii="Times New Roman" w:hAnsi="Times New Roman" w:cs="Times New Roman"/>
          <w:color w:val="000000" w:themeColor="text1"/>
          <w:sz w:val="28"/>
          <w:szCs w:val="28"/>
        </w:rPr>
        <w:t xml:space="preserve">1)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w:t>
      </w:r>
      <w:hyperlink r:id="rId9" w:history="1">
        <w:r>
          <w:rPr>
            <w:rStyle w:val="a3"/>
            <w:rFonts w:ascii="Times New Roman" w:hAnsi="Times New Roman" w:cs="Times New Roman"/>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 о налогах и сборах;</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322"/>
      <w:bookmarkEnd w:id="9"/>
      <w:r>
        <w:rPr>
          <w:rFonts w:ascii="Times New Roman" w:hAnsi="Times New Roman" w:cs="Times New Roman"/>
          <w:color w:val="000000" w:themeColor="text1"/>
          <w:sz w:val="28"/>
          <w:szCs w:val="28"/>
        </w:rPr>
        <w:t xml:space="preserve">2)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у получателя гранта отсутствуют просроченная задолженность по возврату в </w:t>
      </w:r>
      <w:r>
        <w:rPr>
          <w:rFonts w:ascii="Times New Roman" w:hAnsi="Times New Roman" w:cs="Times New Roman"/>
          <w:color w:val="000000" w:themeColor="text1"/>
          <w:sz w:val="28"/>
          <w:szCs w:val="28"/>
        </w:rPr>
        <w:lastRenderedPageBreak/>
        <w:t>окружной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3023"/>
      <w:bookmarkEnd w:id="10"/>
      <w:r>
        <w:rPr>
          <w:rFonts w:ascii="Times New Roman" w:hAnsi="Times New Roman" w:cs="Times New Roman"/>
          <w:color w:val="000000" w:themeColor="text1"/>
          <w:sz w:val="28"/>
          <w:szCs w:val="28"/>
        </w:rPr>
        <w:t xml:space="preserve">3)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w:t>
      </w:r>
      <w:hyperlink r:id="rId10" w:history="1">
        <w:r>
          <w:rPr>
            <w:rStyle w:val="a3"/>
            <w:rFonts w:ascii="Times New Roman" w:hAnsi="Times New Roman" w:cs="Times New Roman"/>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024"/>
      <w:bookmarkEnd w:id="11"/>
      <w:r>
        <w:rPr>
          <w:rFonts w:ascii="Times New Roman" w:hAnsi="Times New Roman" w:cs="Times New Roman"/>
          <w:color w:val="000000" w:themeColor="text1"/>
          <w:sz w:val="28"/>
          <w:szCs w:val="28"/>
        </w:rPr>
        <w:t xml:space="preserve">4)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 w:history="1">
        <w:r>
          <w:rPr>
            <w:rStyle w:val="a3"/>
            <w:rFonts w:ascii="Times New Roman" w:hAnsi="Times New Roman" w:cs="Times New Roman"/>
            <w:color w:val="000000" w:themeColor="text1"/>
            <w:sz w:val="28"/>
            <w:szCs w:val="28"/>
          </w:rPr>
          <w:t>перечень</w:t>
        </w:r>
      </w:hyperlink>
      <w:r>
        <w:rPr>
          <w:rFonts w:ascii="Times New Roman" w:hAnsi="Times New Roman" w:cs="Times New Roman"/>
          <w:color w:val="000000" w:themeColor="text1"/>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3025"/>
      <w:bookmarkEnd w:id="12"/>
      <w:r>
        <w:rPr>
          <w:rFonts w:ascii="Times New Roman" w:hAnsi="Times New Roman" w:cs="Times New Roman"/>
          <w:color w:val="000000" w:themeColor="text1"/>
          <w:sz w:val="28"/>
          <w:szCs w:val="28"/>
        </w:rPr>
        <w:t xml:space="preserve">5)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организация по состоянию на первое число месяца, предшествующего месяцу подачи заявки, не получает в текущем финансовом году средства из окружного бюджета в соответствии с иными правовыми актами на цели, указанные в </w:t>
      </w:r>
      <w:hyperlink r:id="rId12" w:anchor="sub_103" w:history="1">
        <w:r>
          <w:rPr>
            <w:rStyle w:val="a3"/>
            <w:rFonts w:ascii="Times New Roman" w:hAnsi="Times New Roman" w:cs="Times New Roman"/>
            <w:color w:val="000000" w:themeColor="text1"/>
            <w:sz w:val="28"/>
            <w:szCs w:val="28"/>
          </w:rPr>
          <w:t>пункте 1.3 раздела 1</w:t>
        </w:r>
      </w:hyperlink>
      <w:r>
        <w:rPr>
          <w:rFonts w:ascii="Times New Roman" w:hAnsi="Times New Roman" w:cs="Times New Roman"/>
          <w:color w:val="000000" w:themeColor="text1"/>
          <w:sz w:val="28"/>
          <w:szCs w:val="28"/>
        </w:rPr>
        <w:t xml:space="preserve"> настоящего Порядка;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3026"/>
      <w:bookmarkEnd w:id="13"/>
      <w:r>
        <w:rPr>
          <w:rFonts w:ascii="Times New Roman" w:hAnsi="Times New Roman" w:cs="Times New Roman"/>
          <w:color w:val="000000" w:themeColor="text1"/>
          <w:sz w:val="28"/>
          <w:szCs w:val="28"/>
        </w:rPr>
        <w:t>6) согласие на осуществление Департаментом и уполномоченными органами государственного финансового контроля обязательных проверок соблюдения организацией в случае предоставления гранта целей, условий и порядка предоставления гранта;</w:t>
      </w:r>
    </w:p>
    <w:bookmarkEnd w:id="14"/>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реквизиты счета, на который подлежит перечислению грант.</w:t>
      </w:r>
    </w:p>
    <w:bookmarkEnd w:id="0"/>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Документы, указанные в настоящем разделе, представляются на Интернет-платформе «Единое окно», а также на бумажном носителе в одном экземпляре в прошитом, пронумерованном виде, скрепляются подписью руководителя (или иным уполномоченным лицом) и регистрируются в Департаменте в день их представления, в срок не позднее срока окончания подачи заявок, указанного в объявлении о проведении конкурсного отбора.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Представленные на бумажных носителях документы не должны содержать подчистки либо приписки, зачёркнутые слова, а также серьёзные повреждения, не позволяющие однозначно истолковать содержание документа. предоставляются.</w:t>
      </w:r>
    </w:p>
    <w:p w:rsidR="0064521A" w:rsidRDefault="0064521A" w:rsidP="0064521A">
      <w:pPr>
        <w:autoSpaceDE w:val="0"/>
        <w:autoSpaceDN w:val="0"/>
        <w:adjustRightInd w:val="0"/>
        <w:spacing w:after="0" w:line="240" w:lineRule="auto"/>
        <w:ind w:firstLine="720"/>
        <w:jc w:val="both"/>
        <w:rPr>
          <w:rFonts w:ascii="Arial" w:hAnsi="Arial" w:cs="Arial"/>
          <w:color w:val="000000" w:themeColor="text1"/>
          <w:sz w:val="24"/>
          <w:szCs w:val="24"/>
        </w:rPr>
      </w:pPr>
    </w:p>
    <w:p w:rsidR="0064521A" w:rsidRDefault="0064521A" w:rsidP="00645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отзыва заявок участниками конкурсного отбора, порядок внесения изменений в заявки участниками конкурсного отбора;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Заявки могут быть отозваны до окончания срока их приема путем направления участник конкурсного отбора в Департамент соответствующего обращения.</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Отозванные заявки не учитываются при проведении конкурсного отбора.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Внесение изменений участником конкурсного отбора в поданные заявки для участия в конкурсном отборе не допускается.</w:t>
      </w:r>
    </w:p>
    <w:p w:rsidR="0064521A" w:rsidRDefault="0064521A" w:rsidP="0064521A">
      <w:pPr>
        <w:autoSpaceDE w:val="0"/>
        <w:autoSpaceDN w:val="0"/>
        <w:adjustRightInd w:val="0"/>
        <w:spacing w:after="0" w:line="240" w:lineRule="auto"/>
        <w:ind w:firstLine="720"/>
        <w:jc w:val="both"/>
        <w:rPr>
          <w:rFonts w:ascii="Arial" w:hAnsi="Arial" w:cs="Arial"/>
          <w:color w:val="000000" w:themeColor="text1"/>
          <w:sz w:val="24"/>
          <w:szCs w:val="24"/>
        </w:rPr>
      </w:pP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Правила рассмотрения и оценки заявок участников конкурсного отбора</w:t>
      </w: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проведения конкурсного отбора Департамент формирует конкурсную комиссию по проведению конкурсного отбора (далее - Комиссия) в целях определения победителей конкурсного отбора по результатам рассмотрения и оценки заявок, размера гранта для каждого победителя конкурсного отбора, а также утверждает ее состав и положение о ней.</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документов на участие в конкурсном отборе рассчитывается конкурсной комиссией путём сложения баллов ( по шести балльной системе).</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оценочных ведомостей конкурсная комиссия определяет победителя конкурсного отбора</w:t>
      </w:r>
    </w:p>
    <w:p w:rsidR="0064521A" w:rsidRDefault="0064521A" w:rsidP="0064521A">
      <w:pPr>
        <w:autoSpaceDE w:val="0"/>
        <w:autoSpaceDN w:val="0"/>
        <w:adjustRightInd w:val="0"/>
        <w:spacing w:after="0" w:line="240" w:lineRule="auto"/>
        <w:ind w:firstLine="720"/>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820"/>
        <w:gridCol w:w="4394"/>
      </w:tblGrid>
      <w:tr w:rsidR="0064521A" w:rsidTr="0064521A">
        <w:tc>
          <w:tcPr>
            <w:tcW w:w="567"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tc>
        <w:tc>
          <w:tcPr>
            <w:tcW w:w="4820"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Критерии</w:t>
            </w:r>
          </w:p>
        </w:tc>
        <w:tc>
          <w:tcPr>
            <w:tcW w:w="4394"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Оценка</w:t>
            </w:r>
          </w:p>
        </w:tc>
      </w:tr>
      <w:tr w:rsidR="0064521A" w:rsidTr="0064521A">
        <w:tc>
          <w:tcPr>
            <w:tcW w:w="567"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опыта деятельности по реализации социально значимых проектов на территории Чукотского автономного округа</w:t>
            </w:r>
          </w:p>
        </w:tc>
        <w:tc>
          <w:tcPr>
            <w:tcW w:w="4394"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Менее года - 0 баллов;</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год - 1 балл;</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года - 2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года - 3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года - 4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лет и более - 5 баллов</w:t>
            </w:r>
          </w:p>
        </w:tc>
      </w:tr>
      <w:tr w:rsidR="0064521A" w:rsidTr="0064521A">
        <w:tc>
          <w:tcPr>
            <w:tcW w:w="567"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населенных пунктов Чукотского автономного округа, на территории которых предполагается реализация проекта (либо из которых привлечена целевая категория граждан, задействованная в проекте)</w:t>
            </w:r>
          </w:p>
        </w:tc>
        <w:tc>
          <w:tcPr>
            <w:tcW w:w="4394"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населенный пункт - 1 балл;</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населенных пункта - 2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населенных пункта - 3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населенных пункта - 4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населенных пунктов и более - 5 баллов</w:t>
            </w:r>
          </w:p>
        </w:tc>
      </w:tr>
      <w:tr w:rsidR="0064521A" w:rsidTr="0064521A">
        <w:tc>
          <w:tcPr>
            <w:tcW w:w="567"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w:t>
            </w:r>
            <w:proofErr w:type="spellStart"/>
            <w:r>
              <w:rPr>
                <w:rFonts w:ascii="Times New Roman" w:hAnsi="Times New Roman" w:cs="Times New Roman"/>
                <w:color w:val="000000" w:themeColor="text1"/>
                <w:sz w:val="24"/>
                <w:szCs w:val="24"/>
              </w:rPr>
              <w:t>софинансирования</w:t>
            </w:r>
            <w:proofErr w:type="spellEnd"/>
            <w:r>
              <w:rPr>
                <w:rFonts w:ascii="Times New Roman" w:hAnsi="Times New Roman" w:cs="Times New Roman"/>
                <w:color w:val="000000" w:themeColor="text1"/>
                <w:sz w:val="24"/>
                <w:szCs w:val="24"/>
              </w:rPr>
              <w:t xml:space="preserve"> расходов за счет собственных (или привлеченных) средств участника конкурсного отбора</w:t>
            </w:r>
          </w:p>
        </w:tc>
        <w:tc>
          <w:tcPr>
            <w:tcW w:w="4394"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и меньше - 0 баллов;</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10 до 20% - 1 балл;</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21 до 30% - 2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31 до 40% - 3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41 до 50% - 4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51% и больше - 5 баллов</w:t>
            </w:r>
          </w:p>
        </w:tc>
      </w:tr>
      <w:tr w:rsidR="0064521A" w:rsidTr="0064521A">
        <w:tc>
          <w:tcPr>
            <w:tcW w:w="567"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Охват целевой категории граждан, чел</w:t>
            </w:r>
          </w:p>
        </w:tc>
        <w:tc>
          <w:tcPr>
            <w:tcW w:w="4394" w:type="dxa"/>
            <w:tcBorders>
              <w:top w:val="single" w:sz="4" w:space="0" w:color="auto"/>
              <w:left w:val="single" w:sz="4" w:space="0" w:color="auto"/>
              <w:bottom w:val="single" w:sz="4" w:space="0" w:color="auto"/>
              <w:right w:val="single" w:sz="4" w:space="0" w:color="auto"/>
            </w:tcBorders>
            <w:hideMark/>
          </w:tcPr>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 до 20 человек - 0 баллов;</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21 до 30 человек - 1 балл;</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31 до 40 человек - 2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30 до 40 человек - 3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41 до 49 человек - 4 балла;</w:t>
            </w:r>
          </w:p>
          <w:p w:rsidR="0064521A" w:rsidRDefault="0064521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50 и больше - 5 баллов</w:t>
            </w:r>
          </w:p>
        </w:tc>
      </w:tr>
    </w:tbl>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4521A" w:rsidRDefault="0064521A" w:rsidP="0064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Разъяснения   по вопросам получения </w:t>
      </w:r>
      <w:proofErr w:type="spellStart"/>
      <w:r>
        <w:rPr>
          <w:rFonts w:ascii="Times New Roman" w:eastAsia="Times New Roman" w:hAnsi="Times New Roman" w:cs="Times New Roman"/>
          <w:color w:val="000000" w:themeColor="text1"/>
          <w:sz w:val="28"/>
          <w:szCs w:val="28"/>
          <w:lang w:eastAsia="ru-RU"/>
        </w:rPr>
        <w:t>грантовой</w:t>
      </w:r>
      <w:proofErr w:type="spellEnd"/>
      <w:r>
        <w:rPr>
          <w:rFonts w:ascii="Times New Roman" w:eastAsia="Times New Roman" w:hAnsi="Times New Roman" w:cs="Times New Roman"/>
          <w:color w:val="000000" w:themeColor="text1"/>
          <w:sz w:val="28"/>
          <w:szCs w:val="28"/>
          <w:lang w:eastAsia="ru-RU"/>
        </w:rPr>
        <w:t xml:space="preserve"> поддержки можно получить по тел. (42722) 6-21-10. Контактное лицо: начальник отдела государственной политики и развития социального обслуживания Управления социальной поддержки населения Департамента социальной политики Чукотского автономного округа – </w:t>
      </w:r>
      <w:proofErr w:type="spellStart"/>
      <w:r>
        <w:rPr>
          <w:rFonts w:ascii="Times New Roman" w:eastAsia="Times New Roman" w:hAnsi="Times New Roman" w:cs="Times New Roman"/>
          <w:color w:val="000000" w:themeColor="text1"/>
          <w:sz w:val="28"/>
          <w:szCs w:val="28"/>
          <w:lang w:eastAsia="ru-RU"/>
        </w:rPr>
        <w:t>Миколова</w:t>
      </w:r>
      <w:proofErr w:type="spellEnd"/>
      <w:r>
        <w:rPr>
          <w:rFonts w:ascii="Times New Roman" w:eastAsia="Times New Roman" w:hAnsi="Times New Roman" w:cs="Times New Roman"/>
          <w:color w:val="000000" w:themeColor="text1"/>
          <w:sz w:val="28"/>
          <w:szCs w:val="28"/>
          <w:lang w:eastAsia="ru-RU"/>
        </w:rPr>
        <w:t xml:space="preserve"> Валерия Евгеньевна (42722) 6-21-10 .</w:t>
      </w:r>
    </w:p>
    <w:p w:rsidR="0064521A" w:rsidRDefault="0064521A" w:rsidP="0064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64521A" w:rsidRDefault="0064521A" w:rsidP="0064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Срок, в течение которого победитель (победители) конкурсного отбора должен подписать соглашение о предоставлении гранта</w:t>
      </w:r>
    </w:p>
    <w:p w:rsidR="0064521A" w:rsidRDefault="0064521A" w:rsidP="0064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оснований для отказа в предоставлении гранта, Департамент в трехдневный срок направляет получателю гранта для подписания проект Соглашения по адресу электронной почты, указанному в заявке, либо вручает его лично руководителю (или) иному представителю получателя гранта, при наличии у последнего документов, подтверждающих его полномочия на осуществление действий от имени получателя гранта.</w:t>
      </w: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Получатель гранта в течение трёх рабочих дней со дня получения Соглашения представляет в Департамент один экземпляр Соглашения, заверенный подписью руководителя и печатью (при наличии печати).</w:t>
      </w: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Срок рассмотрения заявок</w:t>
      </w:r>
    </w:p>
    <w:p w:rsidR="0064521A" w:rsidRDefault="0064521A" w:rsidP="0064521A">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64521A" w:rsidRDefault="0064521A" w:rsidP="0064521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заявок осуществляется Комиссией в срок, не превышающий 10 рабочих дней со дня окончания срока подачи заявок.</w:t>
      </w:r>
    </w:p>
    <w:p w:rsidR="0064521A" w:rsidRDefault="0064521A" w:rsidP="0064521A">
      <w:pPr>
        <w:spacing w:line="240" w:lineRule="auto"/>
        <w:jc w:val="both"/>
        <w:rPr>
          <w:rFonts w:ascii="Arial" w:hAnsi="Arial" w:cs="Arial"/>
          <w:color w:val="000000" w:themeColor="text1"/>
          <w:sz w:val="24"/>
          <w:szCs w:val="24"/>
        </w:rPr>
      </w:pPr>
      <w:r>
        <w:rPr>
          <w:rFonts w:ascii="Times New Roman" w:hAnsi="Times New Roman" w:cs="Times New Roman"/>
          <w:color w:val="000000" w:themeColor="text1"/>
          <w:sz w:val="28"/>
          <w:szCs w:val="28"/>
        </w:rPr>
        <w:t xml:space="preserve">Дата размещения результатов отбора на </w:t>
      </w:r>
      <w:hyperlink r:id="rId13" w:history="1">
        <w:r>
          <w:rPr>
            <w:rStyle w:val="a3"/>
            <w:rFonts w:ascii="Times New Roman" w:hAnsi="Times New Roman" w:cs="Times New Roman"/>
            <w:color w:val="000000" w:themeColor="text1"/>
            <w:sz w:val="28"/>
            <w:szCs w:val="28"/>
          </w:rPr>
          <w:t>Едином портале</w:t>
        </w:r>
      </w:hyperlink>
      <w:r>
        <w:rPr>
          <w:rFonts w:ascii="Times New Roman" w:hAnsi="Times New Roman" w:cs="Times New Roman"/>
          <w:color w:val="000000" w:themeColor="text1"/>
          <w:sz w:val="28"/>
          <w:szCs w:val="28"/>
        </w:rPr>
        <w:t xml:space="preserve"> и интернет-платформе «Единое окно»  не позднее 14-го календарного дня, следующего за днем определения победителя отбора.</w:t>
      </w:r>
    </w:p>
    <w:p w:rsidR="006D6922" w:rsidRDefault="006D6922"/>
    <w:sectPr w:rsidR="006D6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30"/>
    <w:rsid w:val="004A6B30"/>
    <w:rsid w:val="004B4ECC"/>
    <w:rsid w:val="00593153"/>
    <w:rsid w:val="0060269C"/>
    <w:rsid w:val="0064521A"/>
    <w:rsid w:val="006D6922"/>
    <w:rsid w:val="009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2419"/>
  <w15:chartTrackingRefBased/>
  <w15:docId w15:val="{A9AA0706-513F-4F4F-8C40-62373E5E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13" Type="http://schemas.openxmlformats.org/officeDocument/2006/relationships/hyperlink" Target="garantF1://890941.25728" TargetMode="External"/><Relationship Id="rId3" Type="http://schemas.openxmlformats.org/officeDocument/2006/relationships/webSettings" Target="webSettings.xml"/><Relationship Id="rId7"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12"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11" Type="http://schemas.openxmlformats.org/officeDocument/2006/relationships/hyperlink" Target="garantF1://12057576.1000" TargetMode="External"/><Relationship Id="rId5"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15" Type="http://schemas.openxmlformats.org/officeDocument/2006/relationships/theme" Target="theme/theme1.xml"/><Relationship Id="rId10" Type="http://schemas.openxmlformats.org/officeDocument/2006/relationships/hyperlink" Target="garantF1://85181.0" TargetMode="External"/><Relationship Id="rId4" Type="http://schemas.openxmlformats.org/officeDocument/2006/relationships/hyperlink" Target="file:///\\fs\&#1044;&#1077;&#1087;&#1054;&#1073;&#1088;&#1072;&#1079;\&#1051;&#1048;&#1063;&#1053;&#1067;&#1045;\&#1057;&#1090;&#1077;&#1087;&#1095;&#1077;&#1085;&#1082;&#1086;&#1074;%20&#1052;.&#1042;\&#1056;&#1072;&#1073;&#1086;&#1090;&#1072;\&#1057;&#1054;%20&#1053;&#1050;&#1054;\&#1057;&#1054;%20&#1053;&#1050;&#1054;\&#1043;&#1088;&#1072;&#1085;&#1090;&#1099;\&#1043;&#1088;&#1072;&#1085;&#1090;&#1099;%20&#1044;&#1077;&#1087;%20&#1089;&#1086;&#1094;\&#1057;&#1086;&#1094;%20&#1087;&#1086;&#1083;&#1080;&#1090;&#1080;&#1082;&#1072;\2021\&#1043;&#1088;&#1072;&#1085;&#1090;%20&#1044;&#1057;&#1055;%20&#1063;&#1040;&#1054;%20&#1080;&#1085;&#1074;&#1072;&#1083;&#1080;&#1076;&#1099;%20&#1080;%20&#1087;&#1086;&#1078;&#1080;&#1083;&#1099;&#1077;\&#1054;&#1073;&#1098;&#1103;&#1074;&#1083;&#1077;&#1085;&#1080;&#1077;%20&#1086;%20&#1087;&#1088;&#1086;&#1074;&#1077;&#1076;&#1077;&#1085;&#1080;&#1080;%20&#1082;&#1086;&#1085;&#1082;&#1091;&#1088;&#1089;&#1085;&#1086;&#1075;&#1086;%20&#1086;&#1090;&#1073;&#1086;&#1088;&#1072;%20&#1052;&#1080;&#1082;&#1086;&#1083;&#1086;&#1074;&#1072;.docx" TargetMode="External"/><Relationship Id="rId9" Type="http://schemas.openxmlformats.org/officeDocument/2006/relationships/hyperlink" Target="garantF1://108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 Михаил Викторович</dc:creator>
  <cp:keywords/>
  <dc:description/>
  <cp:lastModifiedBy>Степченков Михаил Викторович</cp:lastModifiedBy>
  <cp:revision>2</cp:revision>
  <dcterms:created xsi:type="dcterms:W3CDTF">2021-09-01T05:50:00Z</dcterms:created>
  <dcterms:modified xsi:type="dcterms:W3CDTF">2021-09-01T05:50:00Z</dcterms:modified>
</cp:coreProperties>
</file>